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60"/>
        <w:gridCol w:w="5811"/>
        <w:gridCol w:w="1123"/>
      </w:tblGrid>
      <w:tr w:rsidR="003A369F" w14:paraId="73AA5C79" w14:textId="77777777" w:rsidTr="0055671E">
        <w:tc>
          <w:tcPr>
            <w:tcW w:w="7371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00BFE265" w14:textId="77777777" w:rsidR="003A369F" w:rsidRPr="00E12336" w:rsidRDefault="00111DFA" w:rsidP="00F249AD">
            <w:pPr>
              <w:jc w:val="center"/>
              <w:rPr>
                <w:b/>
              </w:rPr>
            </w:pPr>
            <w:r w:rsidRPr="00E12336">
              <w:rPr>
                <w:b/>
              </w:rPr>
              <w:t>TABLA DE CUALIFICACIÓN DOCENTE</w:t>
            </w:r>
          </w:p>
        </w:tc>
        <w:tc>
          <w:tcPr>
            <w:tcW w:w="1123" w:type="dxa"/>
          </w:tcPr>
          <w:p w14:paraId="5C5CEAD9" w14:textId="77777777" w:rsidR="003A369F" w:rsidRDefault="003A369F">
            <w:r>
              <w:t>Nº ECTS</w:t>
            </w:r>
          </w:p>
        </w:tc>
      </w:tr>
      <w:tr w:rsidR="003A369F" w14:paraId="1A85AB5F" w14:textId="77777777" w:rsidTr="0055671E">
        <w:tc>
          <w:tcPr>
            <w:tcW w:w="7371" w:type="dxa"/>
            <w:gridSpan w:val="2"/>
            <w:tcBorders>
              <w:top w:val="single" w:sz="4" w:space="0" w:color="auto"/>
            </w:tcBorders>
          </w:tcPr>
          <w:p w14:paraId="69AA8ADC" w14:textId="77DA43D0" w:rsidR="002726C7" w:rsidRPr="007579F8" w:rsidRDefault="007579F8" w:rsidP="002726C7">
            <w:r w:rsidRPr="001D7F79">
              <w:rPr>
                <w:b/>
                <w:u w:val="single"/>
              </w:rPr>
              <w:t>MATERIA</w:t>
            </w:r>
            <w:r>
              <w:t xml:space="preserve">: </w:t>
            </w:r>
            <w:r w:rsidR="00A64C7B">
              <w:t>DERECHO MERCANTIL</w:t>
            </w:r>
          </w:p>
          <w:p w14:paraId="4E9E1255" w14:textId="77777777" w:rsidR="002726C7" w:rsidRPr="003A369F" w:rsidRDefault="002726C7" w:rsidP="002726C7">
            <w:pPr>
              <w:rPr>
                <w:u w:val="single"/>
              </w:rPr>
            </w:pPr>
          </w:p>
        </w:tc>
        <w:tc>
          <w:tcPr>
            <w:tcW w:w="1123" w:type="dxa"/>
          </w:tcPr>
          <w:p w14:paraId="21321CC0" w14:textId="77777777" w:rsidR="003A369F" w:rsidRDefault="003A369F"/>
        </w:tc>
      </w:tr>
      <w:tr w:rsidR="003A369F" w14:paraId="7B427DD3" w14:textId="77777777" w:rsidTr="001D7F79">
        <w:trPr>
          <w:trHeight w:val="469"/>
        </w:trPr>
        <w:tc>
          <w:tcPr>
            <w:tcW w:w="1560" w:type="dxa"/>
          </w:tcPr>
          <w:p w14:paraId="150C2924" w14:textId="77777777" w:rsidR="003A369F" w:rsidRDefault="003A369F">
            <w:pPr>
              <w:rPr>
                <w:u w:val="single"/>
              </w:rPr>
            </w:pPr>
            <w:r w:rsidRPr="003A369F">
              <w:rPr>
                <w:u w:val="single"/>
              </w:rPr>
              <w:t>Perfil del profesor</w:t>
            </w:r>
          </w:p>
          <w:p w14:paraId="0E930473" w14:textId="77777777" w:rsidR="00F77EB7" w:rsidRDefault="00F77EB7">
            <w:pPr>
              <w:rPr>
                <w:u w:val="single"/>
              </w:rPr>
            </w:pPr>
          </w:p>
          <w:p w14:paraId="391E765C" w14:textId="77777777" w:rsidR="00F77EB7" w:rsidRDefault="00F77EB7">
            <w:pPr>
              <w:rPr>
                <w:u w:val="single"/>
              </w:rPr>
            </w:pPr>
          </w:p>
          <w:p w14:paraId="60AF854E" w14:textId="77777777" w:rsidR="00F77EB7" w:rsidRDefault="00F77EB7">
            <w:pPr>
              <w:rPr>
                <w:u w:val="single"/>
              </w:rPr>
            </w:pPr>
          </w:p>
          <w:p w14:paraId="4899F207" w14:textId="77777777" w:rsidR="00F77EB7" w:rsidRDefault="00F77EB7">
            <w:pPr>
              <w:rPr>
                <w:u w:val="single"/>
              </w:rPr>
            </w:pPr>
          </w:p>
          <w:p w14:paraId="54E6D793" w14:textId="77777777" w:rsidR="00F77EB7" w:rsidRDefault="00F77EB7">
            <w:pPr>
              <w:rPr>
                <w:u w:val="single"/>
              </w:rPr>
            </w:pPr>
          </w:p>
          <w:p w14:paraId="36E904DC" w14:textId="77777777" w:rsidR="00F77EB7" w:rsidRDefault="00F77EB7">
            <w:pPr>
              <w:rPr>
                <w:u w:val="single"/>
              </w:rPr>
            </w:pPr>
          </w:p>
          <w:p w14:paraId="246C3953" w14:textId="77777777" w:rsidR="00F77EB7" w:rsidRDefault="00F77EB7">
            <w:pPr>
              <w:rPr>
                <w:u w:val="single"/>
              </w:rPr>
            </w:pPr>
          </w:p>
          <w:p w14:paraId="66DFF0FA" w14:textId="77777777"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14:paraId="319D6ED0" w14:textId="287305DE" w:rsidR="006E30C6" w:rsidRDefault="006E30C6">
            <w:pPr>
              <w:rPr>
                <w:b/>
              </w:rPr>
            </w:pPr>
            <w:r>
              <w:rPr>
                <w:b/>
              </w:rPr>
              <w:t>Profesor Titular de universidad</w:t>
            </w:r>
          </w:p>
          <w:p w14:paraId="382CA021" w14:textId="77777777" w:rsidR="003A369F" w:rsidRDefault="001D7F79">
            <w:r w:rsidRPr="00900420">
              <w:rPr>
                <w:b/>
              </w:rPr>
              <w:t>Experto</w:t>
            </w:r>
            <w:r>
              <w:t xml:space="preserve"> en</w:t>
            </w:r>
            <w:r w:rsidR="006D7830">
              <w:t xml:space="preserve"> Derecho de sociedades y Derecho concursal</w:t>
            </w:r>
          </w:p>
          <w:p w14:paraId="2307EEC0" w14:textId="77777777" w:rsidR="001D7F79" w:rsidRPr="00900420" w:rsidRDefault="001D7F79">
            <w:pPr>
              <w:rPr>
                <w:b/>
              </w:rPr>
            </w:pPr>
            <w:r w:rsidRPr="00900420">
              <w:rPr>
                <w:b/>
              </w:rPr>
              <w:t>Experiencia investigador</w:t>
            </w:r>
            <w:r w:rsidR="00900420" w:rsidRPr="00900420">
              <w:rPr>
                <w:b/>
              </w:rPr>
              <w:t>a</w:t>
            </w:r>
          </w:p>
          <w:p w14:paraId="025F10A6" w14:textId="77777777" w:rsidR="00900420" w:rsidRDefault="002355DE">
            <w:r>
              <w:t>Dos sexenios de investigación reconocidos (2014 y 2015).</w:t>
            </w:r>
          </w:p>
          <w:p w14:paraId="140E5C11" w14:textId="77777777" w:rsidR="00900420" w:rsidRDefault="00900420">
            <w:r>
              <w:t>Estancias de investigación en la Universidad de Bolonia (un año), la Universidad de Múnich (un año y un mes), MPI Múnich (un año en total), LSE Londres (un mes), Universidad de Ámsterdam (un mes), Universidad de Würzburg (un mes).</w:t>
            </w:r>
          </w:p>
          <w:p w14:paraId="05EEAEA8" w14:textId="77777777" w:rsidR="001D7F79" w:rsidRDefault="001D7F79">
            <w:r w:rsidRPr="00900420">
              <w:rPr>
                <w:b/>
              </w:rPr>
              <w:t>Experiencia docente</w:t>
            </w:r>
          </w:p>
          <w:p w14:paraId="30AF092C" w14:textId="77777777" w:rsidR="001D7F79" w:rsidRDefault="002355DE">
            <w:r>
              <w:t>Docente a tiempo completo en el Departamento de Derecho Mercantil UCM desde 2005.</w:t>
            </w:r>
          </w:p>
          <w:p w14:paraId="45FFA1EB" w14:textId="77777777" w:rsidR="002355DE" w:rsidRDefault="002355DE">
            <w:r>
              <w:t>Asignaturas impartidas: Derecho mercantil I y II, Derecho de la competencia, Derecho de la publicidad, Derecho de la empresa y el mercado…</w:t>
            </w:r>
          </w:p>
          <w:p w14:paraId="7AF39267" w14:textId="77777777" w:rsidR="002355DE" w:rsidRDefault="002355DE">
            <w:r>
              <w:t>Dos quinquenios.</w:t>
            </w:r>
          </w:p>
          <w:p w14:paraId="6D44780B" w14:textId="77777777" w:rsidR="002355DE" w:rsidRDefault="002355DE">
            <w:r>
              <w:t>Dirección de TFGs y TFMs.</w:t>
            </w:r>
          </w:p>
          <w:p w14:paraId="76BE3D4C" w14:textId="77777777" w:rsidR="001D7F79" w:rsidRDefault="001D7F79" w:rsidP="001D7F79"/>
        </w:tc>
      </w:tr>
      <w:tr w:rsidR="00F77EB7" w14:paraId="43D4AA22" w14:textId="77777777" w:rsidTr="001D7F79">
        <w:trPr>
          <w:trHeight w:val="871"/>
        </w:trPr>
        <w:tc>
          <w:tcPr>
            <w:tcW w:w="1560" w:type="dxa"/>
          </w:tcPr>
          <w:p w14:paraId="40E1F32D" w14:textId="77777777" w:rsidR="00F77EB7" w:rsidRDefault="00F77EB7">
            <w:pPr>
              <w:rPr>
                <w:u w:val="single"/>
              </w:rPr>
            </w:pPr>
            <w:r w:rsidRPr="003A369F">
              <w:rPr>
                <w:u w:val="single"/>
              </w:rPr>
              <w:t>Líneas de investigación</w:t>
            </w:r>
          </w:p>
          <w:p w14:paraId="373AD200" w14:textId="77777777" w:rsidR="00F77EB7" w:rsidRDefault="00F77EB7">
            <w:pPr>
              <w:rPr>
                <w:u w:val="single"/>
              </w:rPr>
            </w:pPr>
          </w:p>
          <w:p w14:paraId="66971CDE" w14:textId="77777777" w:rsidR="00F77EB7" w:rsidRDefault="00F77EB7">
            <w:pPr>
              <w:rPr>
                <w:u w:val="single"/>
              </w:rPr>
            </w:pPr>
          </w:p>
          <w:p w14:paraId="4E3B6CCE" w14:textId="77777777" w:rsidR="00F77EB7" w:rsidRDefault="00F77EB7">
            <w:pPr>
              <w:rPr>
                <w:u w:val="single"/>
              </w:rPr>
            </w:pPr>
          </w:p>
          <w:p w14:paraId="58C9F3D9" w14:textId="77777777" w:rsidR="00F77EB7" w:rsidRDefault="00F77EB7">
            <w:pPr>
              <w:rPr>
                <w:u w:val="single"/>
              </w:rPr>
            </w:pPr>
          </w:p>
          <w:p w14:paraId="569CC3F1" w14:textId="77777777" w:rsidR="00F77EB7" w:rsidRDefault="00F77EB7">
            <w:pPr>
              <w:rPr>
                <w:u w:val="single"/>
              </w:rPr>
            </w:pPr>
          </w:p>
          <w:p w14:paraId="5715D4E8" w14:textId="77777777" w:rsidR="00F77EB7" w:rsidRDefault="00F77EB7">
            <w:pPr>
              <w:rPr>
                <w:u w:val="single"/>
              </w:rPr>
            </w:pPr>
          </w:p>
          <w:p w14:paraId="7B95B8BF" w14:textId="77777777" w:rsidR="00F77EB7" w:rsidRDefault="00F77EB7">
            <w:pPr>
              <w:rPr>
                <w:u w:val="single"/>
              </w:rPr>
            </w:pPr>
          </w:p>
          <w:p w14:paraId="39DD69E1" w14:textId="77777777" w:rsidR="00F77EB7" w:rsidRPr="003A369F" w:rsidRDefault="00F77EB7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14:paraId="7E33A531" w14:textId="77777777" w:rsidR="001D7F79" w:rsidRDefault="001D7F79">
            <w:r>
              <w:t>1.</w:t>
            </w:r>
            <w:r w:rsidR="00EE26F8">
              <w:t xml:space="preserve"> Derecho de sociedades.</w:t>
            </w:r>
          </w:p>
          <w:p w14:paraId="1E553B72" w14:textId="77777777" w:rsidR="001D7F79" w:rsidRDefault="001D7F79">
            <w:r>
              <w:t>2.</w:t>
            </w:r>
            <w:r w:rsidR="00EE26F8">
              <w:t xml:space="preserve"> Derecho </w:t>
            </w:r>
            <w:r w:rsidR="00900420">
              <w:t>concursal.</w:t>
            </w:r>
          </w:p>
          <w:p w14:paraId="46D63498" w14:textId="77777777" w:rsidR="001D7F79" w:rsidRDefault="001D7F79">
            <w:r>
              <w:t>3.</w:t>
            </w:r>
            <w:r w:rsidR="00EE26F8">
              <w:t xml:space="preserve"> Derecho </w:t>
            </w:r>
            <w:r w:rsidR="00900420">
              <w:t>bancario.</w:t>
            </w:r>
          </w:p>
          <w:p w14:paraId="22AC7D31" w14:textId="77777777" w:rsidR="001D7F79" w:rsidRDefault="001D7F79">
            <w:r>
              <w:t>4.</w:t>
            </w:r>
            <w:r w:rsidR="00EE26F8">
              <w:t xml:space="preserve"> Derecho </w:t>
            </w:r>
            <w:r w:rsidR="00900420">
              <w:t>de seguros.</w:t>
            </w:r>
          </w:p>
          <w:p w14:paraId="4E4B8FB3" w14:textId="77777777" w:rsidR="001D7F79" w:rsidRDefault="001D7F79" w:rsidP="00900420">
            <w:r>
              <w:t>5.</w:t>
            </w:r>
            <w:r w:rsidR="00EE26F8">
              <w:t xml:space="preserve"> Derecho de </w:t>
            </w:r>
            <w:r w:rsidR="00900420">
              <w:t xml:space="preserve">los títulos valores. </w:t>
            </w:r>
          </w:p>
        </w:tc>
      </w:tr>
      <w:tr w:rsidR="006E5F82" w14:paraId="406B7337" w14:textId="77777777" w:rsidTr="001D7F79">
        <w:trPr>
          <w:trHeight w:val="2266"/>
        </w:trPr>
        <w:tc>
          <w:tcPr>
            <w:tcW w:w="1560" w:type="dxa"/>
          </w:tcPr>
          <w:p w14:paraId="508FA79A" w14:textId="77777777"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Proyectos</w:t>
            </w:r>
          </w:p>
          <w:p w14:paraId="321DA333" w14:textId="77777777" w:rsidR="00F77EB7" w:rsidRDefault="00F77EB7" w:rsidP="006E5F82">
            <w:pPr>
              <w:rPr>
                <w:u w:val="single"/>
              </w:rPr>
            </w:pPr>
          </w:p>
          <w:p w14:paraId="360AB6B7" w14:textId="77777777" w:rsidR="00F77EB7" w:rsidRDefault="00F77EB7" w:rsidP="006E5F82">
            <w:pPr>
              <w:rPr>
                <w:u w:val="single"/>
              </w:rPr>
            </w:pPr>
          </w:p>
          <w:p w14:paraId="5410667E" w14:textId="77777777" w:rsidR="00F77EB7" w:rsidRDefault="00F77EB7" w:rsidP="006E5F82">
            <w:pPr>
              <w:rPr>
                <w:u w:val="single"/>
              </w:rPr>
            </w:pPr>
          </w:p>
          <w:p w14:paraId="1438CBB7" w14:textId="77777777" w:rsidR="00F77EB7" w:rsidRDefault="00F77EB7" w:rsidP="006E5F82">
            <w:pPr>
              <w:rPr>
                <w:u w:val="single"/>
              </w:rPr>
            </w:pPr>
          </w:p>
          <w:p w14:paraId="61EBDA16" w14:textId="77777777" w:rsidR="00F77EB7" w:rsidRDefault="00F77EB7" w:rsidP="006E5F82">
            <w:pPr>
              <w:rPr>
                <w:u w:val="single"/>
              </w:rPr>
            </w:pPr>
          </w:p>
          <w:p w14:paraId="301A5715" w14:textId="77777777" w:rsidR="00F77EB7" w:rsidRDefault="00F77EB7" w:rsidP="006E5F82">
            <w:pPr>
              <w:rPr>
                <w:u w:val="single"/>
              </w:rPr>
            </w:pPr>
          </w:p>
          <w:p w14:paraId="7D8B9957" w14:textId="77777777" w:rsidR="00F77EB7" w:rsidRDefault="00F77EB7" w:rsidP="006E5F82">
            <w:pPr>
              <w:rPr>
                <w:u w:val="single"/>
              </w:rPr>
            </w:pPr>
          </w:p>
          <w:p w14:paraId="6F86A134" w14:textId="77777777"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14:paraId="1AE338CF" w14:textId="77777777" w:rsidR="00900420" w:rsidRDefault="00900420" w:rsidP="002355DE">
            <w:pPr>
              <w:jc w:val="both"/>
            </w:pPr>
            <w:r>
              <w:t xml:space="preserve">1. </w:t>
            </w:r>
            <w:r w:rsidRPr="00900420">
              <w:t>Estudio de la función de la junta general en las sociedades de capital: problemas y propuestas de solución</w:t>
            </w:r>
            <w:r>
              <w:t xml:space="preserve"> (</w:t>
            </w:r>
            <w:r w:rsidRPr="00900420">
              <w:t>SEJ 2007-63752/JURI</w:t>
            </w:r>
            <w:r>
              <w:t>).</w:t>
            </w:r>
          </w:p>
          <w:p w14:paraId="1A072CDA" w14:textId="77777777" w:rsidR="00900420" w:rsidRDefault="00900420" w:rsidP="002355DE">
            <w:pPr>
              <w:jc w:val="both"/>
            </w:pPr>
            <w:r>
              <w:t xml:space="preserve">2. </w:t>
            </w:r>
            <w:r w:rsidRPr="00900420">
              <w:t>Principales instituciones del Derecho de la insolvencia. La reforma concursal. Sociedades y reintegración</w:t>
            </w:r>
            <w:r>
              <w:t xml:space="preserve"> (</w:t>
            </w:r>
            <w:r w:rsidRPr="00900420">
              <w:t>DER2011-29417-C02-02</w:t>
            </w:r>
            <w:r>
              <w:t>).</w:t>
            </w:r>
          </w:p>
          <w:p w14:paraId="20505DE5" w14:textId="77777777" w:rsidR="00900420" w:rsidRPr="00900420" w:rsidRDefault="00900420" w:rsidP="002355DE">
            <w:pPr>
              <w:jc w:val="both"/>
            </w:pPr>
            <w:r>
              <w:t>3.</w:t>
            </w:r>
            <w:r w:rsidRPr="00900420">
              <w:t xml:space="preserve"> La reforma del régimen jurídico de las cajas de ahorros y otros aspectos del mercado del crédito en el marco de la crisis económica y financiera</w:t>
            </w:r>
            <w:r w:rsidRPr="00900420">
              <w:rPr>
                <w:rFonts w:cstheme="minorHAnsi"/>
              </w:rPr>
              <w:t xml:space="preserve"> (DER2011-27036</w:t>
            </w:r>
            <w:r w:rsidRPr="00900420">
              <w:rPr>
                <w:rFonts w:eastAsia="Times New Roman" w:cstheme="minorHAnsi"/>
                <w:lang w:eastAsia="es-ES"/>
              </w:rPr>
              <w:t>).</w:t>
            </w:r>
          </w:p>
          <w:p w14:paraId="462EE498" w14:textId="77777777" w:rsidR="00900420" w:rsidRDefault="00900420" w:rsidP="002355DE">
            <w:pPr>
              <w:jc w:val="both"/>
            </w:pPr>
            <w:r>
              <w:t xml:space="preserve">4. </w:t>
            </w:r>
            <w:r w:rsidRPr="00900420">
              <w:t>Reestructuración empresarial. Reintegración y gobierno corporativo</w:t>
            </w:r>
            <w:r>
              <w:t xml:space="preserve"> (</w:t>
            </w:r>
            <w:r w:rsidRPr="00900420">
              <w:t>DER2014-55427-C2-2-P</w:t>
            </w:r>
            <w:r>
              <w:t>).</w:t>
            </w:r>
          </w:p>
          <w:p w14:paraId="10048339" w14:textId="77777777" w:rsidR="00900420" w:rsidRPr="00900420" w:rsidRDefault="00900420" w:rsidP="002355DE">
            <w:pPr>
              <w:jc w:val="both"/>
            </w:pPr>
            <w:r>
              <w:t xml:space="preserve">5. </w:t>
            </w:r>
            <w:r w:rsidRPr="00900420">
              <w:t xml:space="preserve">Reformas en la organización y gobierno corporativo de las sociedades de capital </w:t>
            </w:r>
            <w:r>
              <w:t>(</w:t>
            </w:r>
            <w:r w:rsidRPr="00900420">
              <w:t>DER2014-52831-R</w:t>
            </w:r>
            <w:r>
              <w:t>).</w:t>
            </w:r>
          </w:p>
          <w:p w14:paraId="182AD9AE" w14:textId="77777777" w:rsidR="001D7F79" w:rsidRDefault="00900420" w:rsidP="002355DE">
            <w:pPr>
              <w:jc w:val="both"/>
            </w:pPr>
            <w:r>
              <w:t>6</w:t>
            </w:r>
            <w:r w:rsidRPr="00900420">
              <w:t>. Nuevos retos del gobierno corporativo en las sociedades mercantiles</w:t>
            </w:r>
            <w:r>
              <w:t xml:space="preserve"> (</w:t>
            </w:r>
            <w:r w:rsidRPr="00900420">
              <w:t>DER2014-52831-</w:t>
            </w:r>
            <w:r>
              <w:t>R)</w:t>
            </w:r>
          </w:p>
          <w:p w14:paraId="3EEDB5FD" w14:textId="77777777" w:rsidR="001D7F79" w:rsidRDefault="001D7F79" w:rsidP="006E5F82"/>
        </w:tc>
      </w:tr>
      <w:tr w:rsidR="006E5F82" w:rsidRPr="006E30C6" w14:paraId="33B4E8F3" w14:textId="77777777" w:rsidTr="001D7F79">
        <w:tc>
          <w:tcPr>
            <w:tcW w:w="1560" w:type="dxa"/>
          </w:tcPr>
          <w:p w14:paraId="752FE9AE" w14:textId="77777777" w:rsidR="006E5F82" w:rsidRDefault="006E5F82" w:rsidP="006E5F82">
            <w:pPr>
              <w:rPr>
                <w:u w:val="single"/>
              </w:rPr>
            </w:pPr>
            <w:r w:rsidRPr="003A369F">
              <w:rPr>
                <w:u w:val="single"/>
              </w:rPr>
              <w:t>Publicaciones</w:t>
            </w:r>
          </w:p>
          <w:p w14:paraId="4A24BD35" w14:textId="77777777" w:rsidR="00F77EB7" w:rsidRDefault="00F77EB7" w:rsidP="006E5F82">
            <w:pPr>
              <w:rPr>
                <w:u w:val="single"/>
              </w:rPr>
            </w:pPr>
          </w:p>
          <w:p w14:paraId="7E7B83F9" w14:textId="77777777" w:rsidR="00F77EB7" w:rsidRDefault="00F77EB7" w:rsidP="006E5F82">
            <w:pPr>
              <w:rPr>
                <w:u w:val="single"/>
              </w:rPr>
            </w:pPr>
          </w:p>
          <w:p w14:paraId="6382F2F9" w14:textId="77777777" w:rsidR="00F77EB7" w:rsidRDefault="00F77EB7" w:rsidP="006E5F82">
            <w:pPr>
              <w:rPr>
                <w:u w:val="single"/>
              </w:rPr>
            </w:pPr>
          </w:p>
          <w:p w14:paraId="31B01CB0" w14:textId="77777777" w:rsidR="00F77EB7" w:rsidRDefault="00F77EB7" w:rsidP="006E5F82">
            <w:pPr>
              <w:rPr>
                <w:u w:val="single"/>
              </w:rPr>
            </w:pPr>
          </w:p>
          <w:p w14:paraId="4C496ACC" w14:textId="77777777" w:rsidR="00F77EB7" w:rsidRDefault="00F77EB7" w:rsidP="006E5F82">
            <w:pPr>
              <w:rPr>
                <w:u w:val="single"/>
              </w:rPr>
            </w:pPr>
          </w:p>
          <w:p w14:paraId="3792EC4D" w14:textId="77777777" w:rsidR="006E5F82" w:rsidRDefault="006E5F82" w:rsidP="006E5F82">
            <w:pPr>
              <w:rPr>
                <w:u w:val="single"/>
              </w:rPr>
            </w:pPr>
          </w:p>
          <w:p w14:paraId="1A8017CC" w14:textId="77777777" w:rsidR="006E5F82" w:rsidRDefault="006E5F82" w:rsidP="006E5F82">
            <w:pPr>
              <w:rPr>
                <w:u w:val="single"/>
              </w:rPr>
            </w:pPr>
          </w:p>
          <w:p w14:paraId="3F1DAE13" w14:textId="77777777" w:rsidR="006E5F82" w:rsidRPr="003A369F" w:rsidRDefault="006E5F82" w:rsidP="006E5F82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14:paraId="70ABD4E2" w14:textId="77777777" w:rsidR="00900420" w:rsidRPr="00900420" w:rsidRDefault="00900420" w:rsidP="00900420">
            <w:pPr>
              <w:rPr>
                <w:b/>
                <w:iCs/>
                <w:lang w:val="it-IT"/>
              </w:rPr>
            </w:pPr>
            <w:r w:rsidRPr="00900420">
              <w:rPr>
                <w:b/>
                <w:iCs/>
                <w:lang w:val="it-IT"/>
              </w:rPr>
              <w:lastRenderedPageBreak/>
              <w:t>Monografías</w:t>
            </w:r>
          </w:p>
          <w:p w14:paraId="0B12D4F8" w14:textId="77777777" w:rsidR="00900420" w:rsidRPr="00900420" w:rsidRDefault="00900420" w:rsidP="00900420">
            <w:r w:rsidRPr="00900420">
              <w:rPr>
                <w:i/>
                <w:iCs/>
                <w:lang w:val="it-IT"/>
              </w:rPr>
              <w:t>Documenti di legittimazione e titoli impropri</w:t>
            </w:r>
            <w:r w:rsidRPr="00900420">
              <w:rPr>
                <w:i/>
                <w:iCs/>
              </w:rPr>
              <w:t xml:space="preserve"> </w:t>
            </w:r>
            <w:r w:rsidRPr="00900420">
              <w:rPr>
                <w:iCs/>
              </w:rPr>
              <w:t>(Documentos de legitimación y títulos impropios)</w:t>
            </w:r>
            <w:r w:rsidRPr="00900420">
              <w:t xml:space="preserve">, </w:t>
            </w:r>
            <w:proofErr w:type="spellStart"/>
            <w:r w:rsidRPr="00900420">
              <w:t>Cedam</w:t>
            </w:r>
            <w:proofErr w:type="spellEnd"/>
            <w:r w:rsidRPr="00900420">
              <w:t xml:space="preserve">, </w:t>
            </w:r>
            <w:proofErr w:type="spellStart"/>
            <w:r w:rsidRPr="00900420">
              <w:t>Padova</w:t>
            </w:r>
            <w:proofErr w:type="spellEnd"/>
            <w:r w:rsidRPr="00900420">
              <w:t>, 2005.</w:t>
            </w:r>
          </w:p>
          <w:p w14:paraId="6C80F31A" w14:textId="77777777" w:rsidR="00900420" w:rsidRDefault="00900420" w:rsidP="00900420">
            <w:r w:rsidRPr="00900420">
              <w:rPr>
                <w:i/>
              </w:rPr>
              <w:t>Relaciones de colaboración en el contrato de reaseguro</w:t>
            </w:r>
            <w:r w:rsidRPr="00900420">
              <w:t>, Fundación Mapfre, Madrid, 2012.</w:t>
            </w:r>
          </w:p>
          <w:p w14:paraId="29FB1173" w14:textId="77777777" w:rsidR="00900420" w:rsidRDefault="00900420" w:rsidP="00900420">
            <w:pPr>
              <w:rPr>
                <w:b/>
              </w:rPr>
            </w:pPr>
            <w:r>
              <w:rPr>
                <w:b/>
              </w:rPr>
              <w:t>Artículos en revistas</w:t>
            </w:r>
          </w:p>
          <w:p w14:paraId="1FD93CED" w14:textId="77777777" w:rsidR="00900420" w:rsidRPr="00900420" w:rsidRDefault="00900420" w:rsidP="00900420">
            <w:pPr>
              <w:jc w:val="both"/>
            </w:pPr>
            <w:r w:rsidRPr="00900420">
              <w:lastRenderedPageBreak/>
              <w:t>«</w:t>
            </w:r>
            <w:r w:rsidRPr="00900420">
              <w:rPr>
                <w:i/>
                <w:iCs/>
                <w:lang w:val="it-IT"/>
              </w:rPr>
              <w:t>La polizza di assicurazione all’ordine e al portatore quale titolo improprio: confronto tra diritto italiano e diritto spagnolo</w:t>
            </w:r>
            <w:r w:rsidRPr="00900420">
              <w:rPr>
                <w:i/>
                <w:iCs/>
              </w:rPr>
              <w:t xml:space="preserve"> </w:t>
            </w:r>
            <w:r w:rsidRPr="00900420">
              <w:t xml:space="preserve">[la póliza de seguro a la orden y al portador como título impropio: comparación entre Derecho italiano y Derecho español]», </w:t>
            </w:r>
            <w:proofErr w:type="spellStart"/>
            <w:r w:rsidRPr="00900420">
              <w:rPr>
                <w:i/>
                <w:iCs/>
              </w:rPr>
              <w:t>Contratto</w:t>
            </w:r>
            <w:proofErr w:type="spellEnd"/>
            <w:r w:rsidRPr="00900420">
              <w:rPr>
                <w:i/>
                <w:iCs/>
              </w:rPr>
              <w:t xml:space="preserve"> e impresa</w:t>
            </w:r>
            <w:r w:rsidRPr="00900420">
              <w:t>, 3, septiembre-diciembre 2003, pp. 1146-1171.</w:t>
            </w:r>
          </w:p>
          <w:p w14:paraId="6C0302E6" w14:textId="77777777" w:rsidR="00900420" w:rsidRPr="00900420" w:rsidRDefault="00900420" w:rsidP="00900420">
            <w:pPr>
              <w:jc w:val="both"/>
            </w:pPr>
            <w:r w:rsidRPr="00900420">
              <w:t xml:space="preserve">«El billete de pasaje aéreo: función de legitimación y necesidad del documento para el ejercicio del derecho al transporte», </w:t>
            </w:r>
            <w:r w:rsidRPr="00900420">
              <w:rPr>
                <w:i/>
              </w:rPr>
              <w:t>RDM</w:t>
            </w:r>
            <w:r w:rsidRPr="00900420">
              <w:t xml:space="preserve"> 263 (2007), pp. 231-246.</w:t>
            </w:r>
          </w:p>
          <w:p w14:paraId="4A93113D" w14:textId="77777777" w:rsidR="00900420" w:rsidRPr="00900420" w:rsidRDefault="00900420" w:rsidP="00900420">
            <w:pPr>
              <w:jc w:val="both"/>
            </w:pPr>
            <w:r w:rsidRPr="00900420">
              <w:t xml:space="preserve">«La transmisión de las acciones representadas mediante títulos-valores», </w:t>
            </w:r>
            <w:r w:rsidRPr="00900420">
              <w:rPr>
                <w:i/>
              </w:rPr>
              <w:t>RDM</w:t>
            </w:r>
            <w:r w:rsidRPr="00900420">
              <w:t xml:space="preserve"> 264-265 (2007), pp. 413-444.</w:t>
            </w:r>
          </w:p>
          <w:p w14:paraId="0709295B" w14:textId="77777777" w:rsidR="00900420" w:rsidRPr="00900420" w:rsidRDefault="00900420" w:rsidP="00900420">
            <w:pPr>
              <w:jc w:val="both"/>
            </w:pPr>
            <w:r w:rsidRPr="00900420">
              <w:t xml:space="preserve">«Los billetes de lotería: función del documento, consecuencias de su pérdida y nuevos mecanismos para su adquisición», </w:t>
            </w:r>
            <w:r w:rsidRPr="00900420">
              <w:rPr>
                <w:i/>
              </w:rPr>
              <w:t>RDBB</w:t>
            </w:r>
            <w:r w:rsidRPr="00900420">
              <w:t xml:space="preserve"> 111 (2008), pp. 181-197.</w:t>
            </w:r>
          </w:p>
          <w:p w14:paraId="05843385" w14:textId="77777777" w:rsidR="00900420" w:rsidRPr="00900420" w:rsidRDefault="00900420" w:rsidP="00900420">
            <w:pPr>
              <w:jc w:val="both"/>
            </w:pPr>
            <w:r w:rsidRPr="00900420">
              <w:t xml:space="preserve">«Sobre los pactos </w:t>
            </w:r>
            <w:proofErr w:type="spellStart"/>
            <w:r w:rsidRPr="00900420">
              <w:t>parasociales</w:t>
            </w:r>
            <w:proofErr w:type="spellEnd"/>
            <w:r w:rsidRPr="00900420">
              <w:t xml:space="preserve">», </w:t>
            </w:r>
            <w:proofErr w:type="spellStart"/>
            <w:r w:rsidRPr="00900420">
              <w:rPr>
                <w:i/>
              </w:rPr>
              <w:t>RdS</w:t>
            </w:r>
            <w:proofErr w:type="spellEnd"/>
            <w:r w:rsidRPr="00900420">
              <w:rPr>
                <w:i/>
              </w:rPr>
              <w:t xml:space="preserve"> </w:t>
            </w:r>
            <w:r w:rsidRPr="00900420">
              <w:t>31 (2008), pp. 383-396.</w:t>
            </w:r>
          </w:p>
          <w:p w14:paraId="3BB93648" w14:textId="77777777" w:rsidR="00900420" w:rsidRPr="00900420" w:rsidRDefault="00900420" w:rsidP="00900420">
            <w:pPr>
              <w:jc w:val="both"/>
            </w:pPr>
            <w:r w:rsidRPr="00900420">
              <w:t xml:space="preserve">«En torno al objeto de las sociedades profesionales», </w:t>
            </w:r>
            <w:proofErr w:type="spellStart"/>
            <w:r w:rsidRPr="00900420">
              <w:rPr>
                <w:i/>
              </w:rPr>
              <w:t>RdS</w:t>
            </w:r>
            <w:proofErr w:type="spellEnd"/>
            <w:r w:rsidRPr="00900420">
              <w:rPr>
                <w:i/>
              </w:rPr>
              <w:t xml:space="preserve"> </w:t>
            </w:r>
            <w:r w:rsidRPr="00900420">
              <w:t>32 (2009), pp. 175-199.</w:t>
            </w:r>
          </w:p>
          <w:p w14:paraId="4B642E24" w14:textId="77777777" w:rsidR="00900420" w:rsidRPr="00900420" w:rsidRDefault="00900420" w:rsidP="00900420">
            <w:pPr>
              <w:jc w:val="both"/>
            </w:pPr>
            <w:r w:rsidRPr="00900420">
              <w:t>«Pactos parasociales, actuación en concierto y OPA obligatoria»,</w:t>
            </w:r>
            <w:r w:rsidRPr="00900420">
              <w:rPr>
                <w:i/>
                <w:iCs/>
              </w:rPr>
              <w:t xml:space="preserve"> CDC </w:t>
            </w:r>
            <w:r w:rsidRPr="00900420">
              <w:t>52 (2009) pp. 1-43.</w:t>
            </w:r>
          </w:p>
          <w:p w14:paraId="5D4AE794" w14:textId="77777777" w:rsidR="00900420" w:rsidRPr="00900420" w:rsidRDefault="00900420" w:rsidP="00900420">
            <w:pPr>
              <w:jc w:val="both"/>
            </w:pPr>
            <w:r w:rsidRPr="00900420">
              <w:t xml:space="preserve">«Presupuestos y fundamento jurídico de la impugnación de acuerdos sociales por incumplimiento de pactos parasociales», </w:t>
            </w:r>
            <w:r w:rsidRPr="00900420">
              <w:rPr>
                <w:i/>
              </w:rPr>
              <w:t>RDBB</w:t>
            </w:r>
            <w:r w:rsidRPr="00900420">
              <w:t xml:space="preserve"> 117 (2010), pp. 231-258.</w:t>
            </w:r>
          </w:p>
          <w:p w14:paraId="1DA30411" w14:textId="77777777" w:rsidR="00900420" w:rsidRPr="00900420" w:rsidRDefault="00900420" w:rsidP="00900420">
            <w:pPr>
              <w:jc w:val="both"/>
            </w:pPr>
            <w:r w:rsidRPr="00900420">
              <w:t xml:space="preserve">«La noción de actuación en concierto a efectos de OPA obligatoria», </w:t>
            </w:r>
            <w:proofErr w:type="spellStart"/>
            <w:r w:rsidRPr="00900420">
              <w:rPr>
                <w:i/>
              </w:rPr>
              <w:t>DNeg</w:t>
            </w:r>
            <w:proofErr w:type="spellEnd"/>
            <w:r w:rsidRPr="00900420">
              <w:t xml:space="preserve"> (2010), pp. 5-19.</w:t>
            </w:r>
          </w:p>
          <w:p w14:paraId="11DFB7DA" w14:textId="77777777" w:rsidR="00900420" w:rsidRPr="00900420" w:rsidRDefault="00900420" w:rsidP="00900420">
            <w:pPr>
              <w:jc w:val="both"/>
            </w:pPr>
            <w:r w:rsidRPr="00900420">
              <w:t xml:space="preserve">«La subordinación de créditos y los pactos de socios», </w:t>
            </w:r>
            <w:r w:rsidRPr="00900420">
              <w:rPr>
                <w:i/>
              </w:rPr>
              <w:t xml:space="preserve">RCP </w:t>
            </w:r>
            <w:r w:rsidRPr="00900420">
              <w:t>18 (2013), pp. 143-165.</w:t>
            </w:r>
          </w:p>
          <w:p w14:paraId="4E9CD819" w14:textId="77777777" w:rsidR="00900420" w:rsidRDefault="00900420" w:rsidP="00900420">
            <w:pPr>
              <w:jc w:val="both"/>
            </w:pPr>
            <w:r w:rsidRPr="00900420">
              <w:t xml:space="preserve">«Codificación y descodificación de los títulos-valores», </w:t>
            </w:r>
            <w:r w:rsidRPr="00900420">
              <w:rPr>
                <w:i/>
              </w:rPr>
              <w:t xml:space="preserve">RDM </w:t>
            </w:r>
            <w:r w:rsidRPr="00900420">
              <w:t>289 (2013), pp. 43-71.</w:t>
            </w:r>
          </w:p>
          <w:p w14:paraId="721B0FDF" w14:textId="77777777" w:rsidR="00900420" w:rsidRDefault="00900420" w:rsidP="00900420">
            <w:pPr>
              <w:jc w:val="both"/>
              <w:rPr>
                <w:b/>
              </w:rPr>
            </w:pPr>
            <w:r>
              <w:rPr>
                <w:b/>
              </w:rPr>
              <w:t>Capítulos en obras colectivas</w:t>
            </w:r>
          </w:p>
          <w:p w14:paraId="133CC138" w14:textId="77777777" w:rsidR="00900420" w:rsidRDefault="00900420" w:rsidP="00900420">
            <w:pPr>
              <w:jc w:val="both"/>
            </w:pPr>
            <w:proofErr w:type="spellStart"/>
            <w:r>
              <w:t>Nnn</w:t>
            </w:r>
            <w:proofErr w:type="spellEnd"/>
          </w:p>
          <w:p w14:paraId="1CCD47B4" w14:textId="77777777" w:rsidR="00900420" w:rsidRPr="00900420" w:rsidRDefault="00900420" w:rsidP="00900420">
            <w:pPr>
              <w:jc w:val="both"/>
            </w:pPr>
            <w:r w:rsidRPr="00900420">
              <w:t xml:space="preserve">«Art. 181 Ley Concursal [La rendición de cuentas de la administración concursal]», en J. Pulgar Ezquerra/C. Alonso Ledesma/A. Alonso </w:t>
            </w:r>
            <w:proofErr w:type="spellStart"/>
            <w:r w:rsidRPr="00900420">
              <w:t>Ureba</w:t>
            </w:r>
            <w:proofErr w:type="spellEnd"/>
            <w:r w:rsidRPr="00900420">
              <w:t xml:space="preserve">/G. </w:t>
            </w:r>
            <w:proofErr w:type="spellStart"/>
            <w:r w:rsidRPr="00900420">
              <w:t>Alcover</w:t>
            </w:r>
            <w:proofErr w:type="spellEnd"/>
            <w:r w:rsidRPr="00900420">
              <w:t xml:space="preserve"> (</w:t>
            </w:r>
            <w:proofErr w:type="spellStart"/>
            <w:r w:rsidRPr="00900420">
              <w:t>dir.</w:t>
            </w:r>
            <w:proofErr w:type="spellEnd"/>
            <w:r w:rsidRPr="00900420">
              <w:t xml:space="preserve">), </w:t>
            </w:r>
            <w:r w:rsidRPr="00900420">
              <w:rPr>
                <w:i/>
              </w:rPr>
              <w:t xml:space="preserve">Comentarios a </w:t>
            </w:r>
            <w:smartTag w:uri="urn:schemas-microsoft-com:office:smarttags" w:element="PersonName">
              <w:smartTagPr>
                <w:attr w:name="ProductID" w:val="la Ley Concursal"/>
              </w:smartTagPr>
              <w:r w:rsidRPr="00900420">
                <w:rPr>
                  <w:i/>
                </w:rPr>
                <w:t>la Ley Concursal</w:t>
              </w:r>
            </w:smartTag>
            <w:r w:rsidRPr="00900420">
              <w:t>, II, Dykinson, Madrid, 2004, pp. 1506-1512.</w:t>
            </w:r>
          </w:p>
          <w:p w14:paraId="0A448D60" w14:textId="77777777" w:rsidR="00900420" w:rsidRPr="00900420" w:rsidRDefault="00900420" w:rsidP="00900420">
            <w:pPr>
              <w:jc w:val="both"/>
            </w:pPr>
            <w:r w:rsidRPr="00900420">
              <w:t xml:space="preserve">«Causa de disolución por pérdidas y presupuesto objetivo de la declaración de concurso de sociedades de capital», en </w:t>
            </w:r>
            <w:r w:rsidRPr="00900420">
              <w:rPr>
                <w:i/>
              </w:rPr>
              <w:t>Gobierno corporativo y crisis empresariales: II Seminario Harvard-Complutense de Derecho mercantil</w:t>
            </w:r>
            <w:r w:rsidRPr="00900420">
              <w:t>, Marcial Pons, Madrid, 2006, pp. 199-209.</w:t>
            </w:r>
          </w:p>
          <w:p w14:paraId="02F04C35" w14:textId="77777777" w:rsidR="00900420" w:rsidRPr="00900420" w:rsidRDefault="00900420" w:rsidP="00900420">
            <w:pPr>
              <w:jc w:val="both"/>
            </w:pPr>
            <w:r w:rsidRPr="00900420">
              <w:t>Voces «Acción (título)» y «Resguardos provisionales», en C. Alonso (</w:t>
            </w:r>
            <w:proofErr w:type="spellStart"/>
            <w:r w:rsidRPr="00900420">
              <w:t>dir.</w:t>
            </w:r>
            <w:proofErr w:type="spellEnd"/>
            <w:r w:rsidRPr="00900420">
              <w:t xml:space="preserve">), </w:t>
            </w:r>
            <w:r w:rsidRPr="00900420">
              <w:rPr>
                <w:i/>
              </w:rPr>
              <w:t>Diccionario de Derecho de sociedades</w:t>
            </w:r>
            <w:r w:rsidRPr="00900420">
              <w:t>,</w:t>
            </w:r>
            <w:r w:rsidRPr="00900420">
              <w:rPr>
                <w:i/>
              </w:rPr>
              <w:t xml:space="preserve"> </w:t>
            </w:r>
            <w:proofErr w:type="spellStart"/>
            <w:r w:rsidRPr="00900420">
              <w:t>Iustel</w:t>
            </w:r>
            <w:proofErr w:type="spellEnd"/>
            <w:r w:rsidRPr="00900420">
              <w:t>, Madrid, 2006, pp. 44-48 y 1014-1016.</w:t>
            </w:r>
          </w:p>
          <w:p w14:paraId="57A846CC" w14:textId="77777777" w:rsidR="00900420" w:rsidRPr="00900420" w:rsidRDefault="00900420" w:rsidP="00900420">
            <w:pPr>
              <w:jc w:val="both"/>
            </w:pPr>
            <w:r w:rsidRPr="00900420">
              <w:t>«Garantías personales. Avales bancarios», en A. Sequeira/E. Gadea/F. Sacristán (</w:t>
            </w:r>
            <w:proofErr w:type="spellStart"/>
            <w:r w:rsidRPr="00900420">
              <w:t>dir.</w:t>
            </w:r>
            <w:proofErr w:type="spellEnd"/>
            <w:r w:rsidRPr="00900420">
              <w:t xml:space="preserve">), </w:t>
            </w:r>
            <w:r w:rsidRPr="00900420">
              <w:rPr>
                <w:i/>
              </w:rPr>
              <w:t>La contratación bancaria</w:t>
            </w:r>
            <w:r w:rsidRPr="00900420">
              <w:t>, Dykinson, Madrid, 2007, pp. 1097-1126.</w:t>
            </w:r>
          </w:p>
          <w:p w14:paraId="6DB0ED21" w14:textId="77777777" w:rsidR="00900420" w:rsidRPr="00900420" w:rsidRDefault="00900420" w:rsidP="00900420">
            <w:pPr>
              <w:jc w:val="both"/>
            </w:pPr>
            <w:r w:rsidRPr="00900420">
              <w:t xml:space="preserve">«La transmisión de las acciones representadas mediante títulos-valores», en AA.VV., </w:t>
            </w:r>
            <w:r w:rsidRPr="00900420">
              <w:rPr>
                <w:i/>
              </w:rPr>
              <w:t>Estudios de Derecho de sociedades y Derecho concursal. Libro homenaje al Profesor Rafael García Villaverde</w:t>
            </w:r>
            <w:r w:rsidRPr="00900420">
              <w:t>, II, Marcial Pons, Madrid, 2007, pp. 999-1019.</w:t>
            </w:r>
          </w:p>
          <w:p w14:paraId="378606D8" w14:textId="77777777" w:rsidR="00900420" w:rsidRPr="00900420" w:rsidRDefault="00900420" w:rsidP="00900420">
            <w:pPr>
              <w:jc w:val="both"/>
            </w:pPr>
            <w:r w:rsidRPr="00900420">
              <w:t xml:space="preserve">«De la posible la impugnación de pactos parasociales por infracción de pactos parasociales» en F. Rodríguez Artigas/I. </w:t>
            </w:r>
            <w:proofErr w:type="spellStart"/>
            <w:r w:rsidRPr="00900420">
              <w:t>Farrando</w:t>
            </w:r>
            <w:proofErr w:type="spellEnd"/>
            <w:r w:rsidRPr="00900420">
              <w:t xml:space="preserve"> Miguel/F. González Castilla/R. Tena Arregui (coord.), </w:t>
            </w:r>
            <w:smartTag w:uri="urn:schemas-microsoft-com:office:smarttags" w:element="PersonName">
              <w:smartTagPr>
                <w:attr w:name="ProductID" w:val="La Junta General"/>
              </w:smartTagPr>
              <w:r w:rsidRPr="00900420">
                <w:rPr>
                  <w:i/>
                </w:rPr>
                <w:t>La Junta General</w:t>
              </w:r>
            </w:smartTag>
            <w:r w:rsidRPr="00900420">
              <w:rPr>
                <w:i/>
              </w:rPr>
              <w:t xml:space="preserve"> de las sociedades de capital. Cuestiones actuales</w:t>
            </w:r>
            <w:r w:rsidRPr="00900420">
              <w:t>,</w:t>
            </w:r>
            <w:r w:rsidRPr="00900420">
              <w:rPr>
                <w:i/>
              </w:rPr>
              <w:t xml:space="preserve"> </w:t>
            </w:r>
            <w:r w:rsidRPr="00900420">
              <w:t xml:space="preserve">Colegio Notarial de Madrid, </w:t>
            </w:r>
            <w:r w:rsidRPr="00900420">
              <w:lastRenderedPageBreak/>
              <w:t>Madrid, 2009, pp. 427-439.</w:t>
            </w:r>
          </w:p>
          <w:p w14:paraId="2BC1700D" w14:textId="77777777" w:rsidR="00900420" w:rsidRPr="00900420" w:rsidRDefault="00900420" w:rsidP="00900420">
            <w:pPr>
              <w:jc w:val="both"/>
            </w:pPr>
            <w:r w:rsidRPr="00900420">
              <w:t xml:space="preserve">«Pactos parasociales, actuación en concierto y OPA obligatoria», en J. Juste/A. Recalde (coord.), </w:t>
            </w:r>
            <w:r w:rsidRPr="00900420">
              <w:rPr>
                <w:i/>
              </w:rPr>
              <w:t xml:space="preserve">Derecho de </w:t>
            </w:r>
            <w:proofErr w:type="spellStart"/>
            <w:r w:rsidRPr="00900420">
              <w:rPr>
                <w:i/>
              </w:rPr>
              <w:t>OPAs</w:t>
            </w:r>
            <w:proofErr w:type="spellEnd"/>
            <w:r w:rsidRPr="00900420">
              <w:rPr>
                <w:i/>
              </w:rPr>
              <w:t>. Estudio sistemático del régimen de las ofertas públicas de adquisición en el Derecho español</w:t>
            </w:r>
            <w:r w:rsidRPr="00900420">
              <w:t>, Tirant lo Blanch, Valencia, 2010, pp. 115-152.</w:t>
            </w:r>
          </w:p>
          <w:p w14:paraId="36F4658F" w14:textId="77777777" w:rsidR="00900420" w:rsidRPr="00900420" w:rsidRDefault="00900420" w:rsidP="00900420">
            <w:pPr>
              <w:jc w:val="both"/>
            </w:pPr>
            <w:r w:rsidRPr="00900420">
              <w:t xml:space="preserve">«Reflexiones críticas en torno al concepto amplio de título-valor», en </w:t>
            </w:r>
            <w:proofErr w:type="spellStart"/>
            <w:r w:rsidRPr="00900420">
              <w:rPr>
                <w:i/>
              </w:rPr>
              <w:t>Liber</w:t>
            </w:r>
            <w:proofErr w:type="spellEnd"/>
            <w:r w:rsidRPr="00900420">
              <w:rPr>
                <w:i/>
              </w:rPr>
              <w:t xml:space="preserve"> </w:t>
            </w:r>
            <w:proofErr w:type="spellStart"/>
            <w:r w:rsidRPr="00900420">
              <w:rPr>
                <w:i/>
              </w:rPr>
              <w:t>amicorum</w:t>
            </w:r>
            <w:proofErr w:type="spellEnd"/>
            <w:r w:rsidRPr="00900420">
              <w:rPr>
                <w:i/>
              </w:rPr>
              <w:t xml:space="preserve"> Profesor José María Gondra Romero</w:t>
            </w:r>
            <w:r w:rsidRPr="00900420">
              <w:t>, Marcial Pons, Madrid, 2012, pp. 363-394.</w:t>
            </w:r>
          </w:p>
          <w:p w14:paraId="58E8F9B0" w14:textId="77777777" w:rsidR="00900420" w:rsidRPr="00900420" w:rsidRDefault="00900420" w:rsidP="00900420">
            <w:pPr>
              <w:jc w:val="both"/>
            </w:pPr>
            <w:r w:rsidRPr="00900420">
              <w:t>«El contrato de sociedad (3). Los pactos entre socios», en M. Yzquierdo Tolsada (</w:t>
            </w:r>
            <w:proofErr w:type="spellStart"/>
            <w:r w:rsidRPr="00900420">
              <w:t>dir.</w:t>
            </w:r>
            <w:proofErr w:type="spellEnd"/>
            <w:r w:rsidRPr="00900420">
              <w:t xml:space="preserve">), </w:t>
            </w:r>
            <w:r w:rsidRPr="00900420">
              <w:rPr>
                <w:i/>
              </w:rPr>
              <w:t>Contratos civiles, mercantiles, públicos, laborales e internacionales, con sus implicaciones tributarias</w:t>
            </w:r>
            <w:r w:rsidRPr="00900420">
              <w:t>, t. VI, Aranzadi, Cizur Menor (Navarra), 2014, pp. 147-204.</w:t>
            </w:r>
          </w:p>
          <w:p w14:paraId="7CBFAD80" w14:textId="77777777" w:rsidR="00900420" w:rsidRPr="00900420" w:rsidRDefault="00900420" w:rsidP="00900420">
            <w:pPr>
              <w:jc w:val="both"/>
            </w:pPr>
            <w:r w:rsidRPr="00900420">
              <w:t xml:space="preserve">«La resolución de las entidades de crédito: una aproximación crítica y práctica» (en coautoría con E. Recamán Graña), en J. L. Colino Mediavilla/J. C. González Vázquez, </w:t>
            </w:r>
            <w:r w:rsidRPr="00900420">
              <w:rPr>
                <w:i/>
              </w:rPr>
              <w:t>Las cajas de ahorro y la prevención del tratamiento de la crisis de las entidades de crédito</w:t>
            </w:r>
            <w:r w:rsidRPr="00900420">
              <w:t>, Comares, Granada, 2014, pp. 291-316.</w:t>
            </w:r>
          </w:p>
          <w:p w14:paraId="606FFC29" w14:textId="77777777" w:rsidR="00900420" w:rsidRPr="00900420" w:rsidRDefault="00900420" w:rsidP="00900420">
            <w:pPr>
              <w:jc w:val="both"/>
            </w:pPr>
            <w:r w:rsidRPr="00900420">
              <w:t xml:space="preserve">«Los efectos de la sentencia de impugnación de aumentos de capital», en F. Rodríguez Artigas/I. </w:t>
            </w:r>
            <w:proofErr w:type="spellStart"/>
            <w:r w:rsidRPr="00900420">
              <w:t>Farrando</w:t>
            </w:r>
            <w:proofErr w:type="spellEnd"/>
            <w:r w:rsidRPr="00900420">
              <w:t xml:space="preserve"> Miguel/R. Tena Arregui (</w:t>
            </w:r>
            <w:proofErr w:type="spellStart"/>
            <w:r w:rsidRPr="00900420">
              <w:t>dir.</w:t>
            </w:r>
            <w:proofErr w:type="spellEnd"/>
            <w:r w:rsidRPr="00900420">
              <w:t xml:space="preserve">), </w:t>
            </w:r>
            <w:r w:rsidRPr="00900420">
              <w:rPr>
                <w:i/>
              </w:rPr>
              <w:t>El nuevo régimen de impugnación de los acuerdos sociales de las sociedades de capital</w:t>
            </w:r>
            <w:r w:rsidRPr="00900420">
              <w:t>, Colegio Notarial de Madrid, Madrid, 2015, pp. 523-542.</w:t>
            </w:r>
          </w:p>
          <w:p w14:paraId="4329AA0E" w14:textId="77777777" w:rsidR="00900420" w:rsidRPr="00900420" w:rsidRDefault="00900420" w:rsidP="00900420">
            <w:pPr>
              <w:jc w:val="both"/>
            </w:pPr>
            <w:r w:rsidRPr="00900420">
              <w:t xml:space="preserve">«Documentos de legitimación y títulos impropios», en </w:t>
            </w:r>
            <w:r w:rsidRPr="00900420">
              <w:rPr>
                <w:i/>
              </w:rPr>
              <w:t>Cuadernos Iberdrola</w:t>
            </w:r>
            <w:r w:rsidRPr="00900420">
              <w:t>, Las Rozas (Madrid), 2015, pp. 77-94.</w:t>
            </w:r>
          </w:p>
          <w:p w14:paraId="306DA9E9" w14:textId="77777777" w:rsidR="00900420" w:rsidRPr="00900420" w:rsidRDefault="00900420" w:rsidP="00900420">
            <w:pPr>
              <w:jc w:val="both"/>
            </w:pPr>
            <w:r w:rsidRPr="00900420">
              <w:t>«La letra de cambio: reflexiones con la excusa de Plácido y el Anteproyecto de Ley del Código Mercantil», en P. Fernández Carballo-Calero (</w:t>
            </w:r>
            <w:proofErr w:type="spellStart"/>
            <w:r w:rsidRPr="00900420">
              <w:t>dir.</w:t>
            </w:r>
            <w:proofErr w:type="spellEnd"/>
            <w:r w:rsidRPr="00900420">
              <w:t xml:space="preserve">), </w:t>
            </w:r>
            <w:r w:rsidRPr="00900420">
              <w:rPr>
                <w:i/>
              </w:rPr>
              <w:t>Derecho mercantil y cine</w:t>
            </w:r>
            <w:r w:rsidRPr="00900420">
              <w:t>, Aranzadi, Cizur Menor (Navarra), 2016, pp. 159-181.</w:t>
            </w:r>
          </w:p>
          <w:p w14:paraId="7A1C2CC7" w14:textId="77777777" w:rsidR="00900420" w:rsidRPr="00900420" w:rsidRDefault="00900420" w:rsidP="00900420">
            <w:pPr>
              <w:jc w:val="both"/>
            </w:pPr>
            <w:r w:rsidRPr="00900420">
              <w:t xml:space="preserve">«La transmisión consensual de valores representados mediante anotaciones en cuenta», en A. Martínez Flórez/F. J. </w:t>
            </w:r>
            <w:proofErr w:type="spellStart"/>
            <w:r w:rsidRPr="00900420">
              <w:t>Garcimartín</w:t>
            </w:r>
            <w:proofErr w:type="spellEnd"/>
            <w:r w:rsidRPr="00900420">
              <w:t xml:space="preserve"> Alférez/A. </w:t>
            </w:r>
            <w:proofErr w:type="spellStart"/>
            <w:r w:rsidRPr="00900420">
              <w:t>Recalde</w:t>
            </w:r>
            <w:proofErr w:type="spellEnd"/>
            <w:r w:rsidRPr="00900420">
              <w:t xml:space="preserve"> </w:t>
            </w:r>
            <w:proofErr w:type="spellStart"/>
            <w:r w:rsidRPr="00900420">
              <w:t>Castells</w:t>
            </w:r>
            <w:proofErr w:type="spellEnd"/>
            <w:r w:rsidRPr="00900420">
              <w:t xml:space="preserve"> (</w:t>
            </w:r>
            <w:proofErr w:type="spellStart"/>
            <w:r w:rsidRPr="00900420">
              <w:t>dir.</w:t>
            </w:r>
            <w:proofErr w:type="spellEnd"/>
            <w:r w:rsidRPr="00900420">
              <w:t xml:space="preserve">), </w:t>
            </w:r>
            <w:r w:rsidRPr="00900420">
              <w:rPr>
                <w:i/>
              </w:rPr>
              <w:t xml:space="preserve">La reforma del sistema de </w:t>
            </w:r>
            <w:proofErr w:type="spellStart"/>
            <w:r w:rsidRPr="00900420">
              <w:rPr>
                <w:i/>
              </w:rPr>
              <w:t>poscontratación</w:t>
            </w:r>
            <w:proofErr w:type="spellEnd"/>
            <w:r w:rsidRPr="00900420">
              <w:rPr>
                <w:i/>
              </w:rPr>
              <w:t xml:space="preserve"> en los mercados de valores</w:t>
            </w:r>
            <w:r w:rsidRPr="00900420">
              <w:t>, 2017, pp. 821-841.</w:t>
            </w:r>
          </w:p>
          <w:p w14:paraId="25EEC608" w14:textId="77777777" w:rsidR="00900420" w:rsidRPr="00900420" w:rsidRDefault="00900420" w:rsidP="00900420">
            <w:pPr>
              <w:jc w:val="both"/>
            </w:pPr>
            <w:bookmarkStart w:id="0" w:name="_Hlk515439593"/>
            <w:r w:rsidRPr="00900420">
              <w:t>«La competencia de la junta general respecto de operacione</w:t>
            </w:r>
            <w:bookmarkStart w:id="1" w:name="_GoBack"/>
            <w:bookmarkEnd w:id="1"/>
            <w:r w:rsidRPr="00900420">
              <w:t xml:space="preserve">s sobre activos esenciales y el poder de representación de los administradores», en J. Juste/C. Espín (coord.), </w:t>
            </w:r>
            <w:r w:rsidRPr="00900420">
              <w:rPr>
                <w:i/>
              </w:rPr>
              <w:t xml:space="preserve">Estudios sobre órganos de las sociedades de capital. </w:t>
            </w:r>
            <w:proofErr w:type="spellStart"/>
            <w:r w:rsidRPr="00900420">
              <w:rPr>
                <w:i/>
              </w:rPr>
              <w:t>Liber</w:t>
            </w:r>
            <w:proofErr w:type="spellEnd"/>
            <w:r w:rsidRPr="00900420">
              <w:rPr>
                <w:i/>
              </w:rPr>
              <w:t xml:space="preserve"> </w:t>
            </w:r>
            <w:proofErr w:type="spellStart"/>
            <w:r w:rsidRPr="00900420">
              <w:rPr>
                <w:i/>
              </w:rPr>
              <w:t>amicorum</w:t>
            </w:r>
            <w:proofErr w:type="spellEnd"/>
            <w:r w:rsidRPr="00900420">
              <w:rPr>
                <w:i/>
              </w:rPr>
              <w:t xml:space="preserve"> Fernando Rodríguez Artigas y Gaudencio Esteban Velasco</w:t>
            </w:r>
            <w:r w:rsidRPr="00900420">
              <w:t>, Aranzadi, Cizur Menor (Navarra), 2017, pp. 323-359.</w:t>
            </w:r>
            <w:bookmarkEnd w:id="0"/>
          </w:p>
          <w:p w14:paraId="542FDE92" w14:textId="77777777" w:rsidR="00900420" w:rsidRPr="00900420" w:rsidRDefault="00900420" w:rsidP="00900420">
            <w:pPr>
              <w:jc w:val="both"/>
              <w:rPr>
                <w:lang w:val="en-GB"/>
              </w:rPr>
            </w:pPr>
            <w:r w:rsidRPr="00900420">
              <w:rPr>
                <w:lang w:val="en-GB"/>
              </w:rPr>
              <w:t xml:space="preserve">«Shareholders’ Agreements in Spain», </w:t>
            </w:r>
            <w:proofErr w:type="spellStart"/>
            <w:r w:rsidRPr="00900420">
              <w:rPr>
                <w:lang w:val="en-GB"/>
              </w:rPr>
              <w:t>en</w:t>
            </w:r>
            <w:proofErr w:type="spellEnd"/>
            <w:r w:rsidRPr="00900420">
              <w:rPr>
                <w:lang w:val="en-GB"/>
              </w:rPr>
              <w:t xml:space="preserve"> S. Mock/K. </w:t>
            </w:r>
            <w:proofErr w:type="spellStart"/>
            <w:r w:rsidRPr="00900420">
              <w:rPr>
                <w:lang w:val="en-GB"/>
              </w:rPr>
              <w:t>Csach</w:t>
            </w:r>
            <w:proofErr w:type="spellEnd"/>
            <w:r w:rsidRPr="00900420">
              <w:rPr>
                <w:lang w:val="en-GB"/>
              </w:rPr>
              <w:t xml:space="preserve">/B. Havel (ed.), </w:t>
            </w:r>
            <w:r w:rsidRPr="00900420">
              <w:rPr>
                <w:i/>
                <w:lang w:val="en-GB"/>
              </w:rPr>
              <w:t>International Handbook on Shareholder’s Agreements</w:t>
            </w:r>
            <w:r w:rsidRPr="00900420">
              <w:rPr>
                <w:lang w:val="en-GB"/>
              </w:rPr>
              <w:t>, De Gruyter, Berlin-Boston, 2018, pp. 567-594.</w:t>
            </w:r>
          </w:p>
          <w:p w14:paraId="4B7A73AF" w14:textId="77777777" w:rsidR="001D7F79" w:rsidRPr="006E30C6" w:rsidRDefault="001D7F79" w:rsidP="006E5F82">
            <w:pPr>
              <w:rPr>
                <w:lang w:val="en-US"/>
              </w:rPr>
            </w:pPr>
          </w:p>
        </w:tc>
      </w:tr>
      <w:tr w:rsidR="001D7F79" w14:paraId="47BADEBD" w14:textId="77777777" w:rsidTr="001D7F79">
        <w:tc>
          <w:tcPr>
            <w:tcW w:w="1560" w:type="dxa"/>
          </w:tcPr>
          <w:p w14:paraId="3E598D17" w14:textId="77777777" w:rsidR="001D7F79" w:rsidRDefault="001D7F79" w:rsidP="00C875F1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Experiencia Profesional</w:t>
            </w:r>
          </w:p>
          <w:p w14:paraId="0C868AE4" w14:textId="77777777" w:rsidR="001D7F79" w:rsidRDefault="001D7F79" w:rsidP="00C875F1">
            <w:pPr>
              <w:rPr>
                <w:u w:val="single"/>
              </w:rPr>
            </w:pPr>
          </w:p>
          <w:p w14:paraId="208B1702" w14:textId="77777777" w:rsidR="001D7F79" w:rsidRDefault="001D7F79" w:rsidP="00C875F1">
            <w:pPr>
              <w:rPr>
                <w:u w:val="single"/>
              </w:rPr>
            </w:pPr>
          </w:p>
          <w:p w14:paraId="12FE7AD3" w14:textId="77777777" w:rsidR="001D7F79" w:rsidRDefault="001D7F79" w:rsidP="00C875F1">
            <w:pPr>
              <w:rPr>
                <w:u w:val="single"/>
              </w:rPr>
            </w:pPr>
          </w:p>
          <w:p w14:paraId="47BAB4FD" w14:textId="77777777" w:rsidR="001D7F79" w:rsidRDefault="001D7F79" w:rsidP="00C875F1">
            <w:pPr>
              <w:rPr>
                <w:u w:val="single"/>
              </w:rPr>
            </w:pPr>
          </w:p>
          <w:p w14:paraId="60BE1A8F" w14:textId="77777777" w:rsidR="001D7F79" w:rsidRDefault="001D7F79" w:rsidP="00C875F1">
            <w:pPr>
              <w:rPr>
                <w:u w:val="single"/>
              </w:rPr>
            </w:pPr>
          </w:p>
          <w:p w14:paraId="780DD92E" w14:textId="77777777" w:rsidR="001D7F79" w:rsidRPr="003A369F" w:rsidRDefault="001D7F79" w:rsidP="00C875F1">
            <w:pPr>
              <w:rPr>
                <w:u w:val="single"/>
              </w:rPr>
            </w:pPr>
          </w:p>
        </w:tc>
        <w:tc>
          <w:tcPr>
            <w:tcW w:w="6934" w:type="dxa"/>
            <w:gridSpan w:val="2"/>
          </w:tcPr>
          <w:p w14:paraId="4651B5DE" w14:textId="77777777" w:rsidR="001D7F79" w:rsidRDefault="001D7F79" w:rsidP="00C875F1"/>
        </w:tc>
      </w:tr>
    </w:tbl>
    <w:p w14:paraId="66FFD160" w14:textId="77777777" w:rsidR="00EF2C9D" w:rsidRDefault="00EF2C9D"/>
    <w:sectPr w:rsidR="00EF2C9D" w:rsidSect="001D7F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664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37F07" w14:textId="77777777" w:rsidR="00A948DF" w:rsidRDefault="00A948DF" w:rsidP="001D7F79">
      <w:pPr>
        <w:spacing w:after="0" w:line="240" w:lineRule="auto"/>
      </w:pPr>
      <w:r>
        <w:separator/>
      </w:r>
    </w:p>
  </w:endnote>
  <w:endnote w:type="continuationSeparator" w:id="0">
    <w:p w14:paraId="58B00468" w14:textId="77777777" w:rsidR="00A948DF" w:rsidRDefault="00A948DF" w:rsidP="001D7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A35CE" w14:textId="77777777" w:rsidR="00111DFA" w:rsidRDefault="00111DF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DFE1BA" w14:textId="77777777" w:rsidR="00111DFA" w:rsidRDefault="00111DFA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F7A504" w14:textId="77777777" w:rsidR="00111DFA" w:rsidRDefault="00111DF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368477" w14:textId="77777777" w:rsidR="00A948DF" w:rsidRDefault="00A948DF" w:rsidP="001D7F79">
      <w:pPr>
        <w:spacing w:after="0" w:line="240" w:lineRule="auto"/>
      </w:pPr>
      <w:r>
        <w:separator/>
      </w:r>
    </w:p>
  </w:footnote>
  <w:footnote w:type="continuationSeparator" w:id="0">
    <w:p w14:paraId="5D8D4E68" w14:textId="77777777" w:rsidR="00A948DF" w:rsidRDefault="00A948DF" w:rsidP="001D7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CF4763" w14:textId="77777777" w:rsidR="00111DFA" w:rsidRDefault="00111DF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7C663" w14:textId="77777777" w:rsidR="001D7F79" w:rsidRDefault="001D7F79" w:rsidP="001D7F79">
    <w:pPr>
      <w:pStyle w:val="Encabezado"/>
      <w:ind w:left="-142"/>
    </w:pPr>
    <w:r w:rsidRPr="001D7F79">
      <w:rPr>
        <w:noProof/>
        <w:lang w:eastAsia="es-ES"/>
      </w:rPr>
      <w:drawing>
        <wp:inline distT="0" distB="0" distL="0" distR="0" wp14:anchorId="309B31C2" wp14:editId="4CD0BC16">
          <wp:extent cx="2146053" cy="552450"/>
          <wp:effectExtent l="0" t="0" r="6985" b="0"/>
          <wp:docPr id="6" name="Imagen 6" descr="C:\Users\lzuloaga\AppData\Local\Temp\Rar$DIa0.853\Marca UCM Alternativa logo neg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zuloaga\AppData\Local\Temp\Rar$DIa0.853\Marca UCM Alternativa logo neg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6491" cy="5654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52A5E6" w14:textId="77777777" w:rsidR="001D7F79" w:rsidRDefault="001D7F7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E2E20B" w14:textId="77777777" w:rsidR="00111DFA" w:rsidRDefault="00111DF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8F9"/>
    <w:rsid w:val="000C1074"/>
    <w:rsid w:val="000D7A4B"/>
    <w:rsid w:val="00111DFA"/>
    <w:rsid w:val="001139AD"/>
    <w:rsid w:val="0012179E"/>
    <w:rsid w:val="00126A29"/>
    <w:rsid w:val="00191B18"/>
    <w:rsid w:val="001B272D"/>
    <w:rsid w:val="001D5804"/>
    <w:rsid w:val="001D7F79"/>
    <w:rsid w:val="002355DE"/>
    <w:rsid w:val="002726C7"/>
    <w:rsid w:val="002E0289"/>
    <w:rsid w:val="003A369F"/>
    <w:rsid w:val="004D76B6"/>
    <w:rsid w:val="00506DA3"/>
    <w:rsid w:val="0055671E"/>
    <w:rsid w:val="005B38F9"/>
    <w:rsid w:val="006A0346"/>
    <w:rsid w:val="006D7830"/>
    <w:rsid w:val="006E30C6"/>
    <w:rsid w:val="006E5F82"/>
    <w:rsid w:val="007579F8"/>
    <w:rsid w:val="00760D07"/>
    <w:rsid w:val="00780D55"/>
    <w:rsid w:val="00863858"/>
    <w:rsid w:val="00900420"/>
    <w:rsid w:val="00974CD4"/>
    <w:rsid w:val="00990AA2"/>
    <w:rsid w:val="00A64C7B"/>
    <w:rsid w:val="00A6551B"/>
    <w:rsid w:val="00A817B5"/>
    <w:rsid w:val="00A948DF"/>
    <w:rsid w:val="00AA6974"/>
    <w:rsid w:val="00B32F6A"/>
    <w:rsid w:val="00BF0367"/>
    <w:rsid w:val="00CC3283"/>
    <w:rsid w:val="00CE35C8"/>
    <w:rsid w:val="00E12336"/>
    <w:rsid w:val="00EE26F8"/>
    <w:rsid w:val="00EF2C9D"/>
    <w:rsid w:val="00F12F70"/>
    <w:rsid w:val="00F249AD"/>
    <w:rsid w:val="00F36336"/>
    <w:rsid w:val="00F46039"/>
    <w:rsid w:val="00F77EB7"/>
    <w:rsid w:val="00FD70F5"/>
    <w:rsid w:val="00FE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07232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A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B3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6385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D7F79"/>
  </w:style>
  <w:style w:type="paragraph" w:styleId="Piedepgina">
    <w:name w:val="footer"/>
    <w:basedOn w:val="Normal"/>
    <w:link w:val="PiedepginaCar"/>
    <w:uiPriority w:val="99"/>
    <w:unhideWhenUsed/>
    <w:rsid w:val="001D7F7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D7F79"/>
  </w:style>
  <w:style w:type="paragraph" w:styleId="Textodeglobo">
    <w:name w:val="Balloon Text"/>
    <w:basedOn w:val="Normal"/>
    <w:link w:val="TextodegloboCar"/>
    <w:uiPriority w:val="99"/>
    <w:semiHidden/>
    <w:unhideWhenUsed/>
    <w:rsid w:val="00974C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74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6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1088</Words>
  <Characters>5984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 BORREGO CUESTA</dc:creator>
  <cp:lastModifiedBy>Usuario de Windows</cp:lastModifiedBy>
  <cp:revision>3</cp:revision>
  <dcterms:created xsi:type="dcterms:W3CDTF">2019-04-23T10:07:00Z</dcterms:created>
  <dcterms:modified xsi:type="dcterms:W3CDTF">2019-06-20T14:55:00Z</dcterms:modified>
</cp:coreProperties>
</file>